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8019" w14:textId="77CBEBC6" w:rsidR="00CC57AC" w:rsidRDefault="00CC57AC">
      <w:pPr>
        <w:spacing w:after="158"/>
        <w:ind w:left="-5" w:right="0"/>
        <w:rPr>
          <w:rFonts w:cs="Calibri"/>
          <w:b/>
        </w:rPr>
      </w:pPr>
      <w:r>
        <w:rPr>
          <w:rFonts w:cs="Calibri"/>
          <w:b/>
          <w:noProof/>
        </w:rPr>
        <w:drawing>
          <wp:inline distT="0" distB="0" distL="0" distR="0" wp14:anchorId="3B88BD1D" wp14:editId="388F9821">
            <wp:extent cx="3328670" cy="1017905"/>
            <wp:effectExtent l="0" t="0" r="5080" b="0"/>
            <wp:docPr id="12329323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879C6" w14:textId="77777777" w:rsidR="00CC57AC" w:rsidRPr="00CC57AC" w:rsidRDefault="00CC57AC" w:rsidP="00CC57AC">
      <w:pPr>
        <w:spacing w:after="158"/>
        <w:ind w:left="-5" w:right="0"/>
        <w:jc w:val="center"/>
        <w:rPr>
          <w:rFonts w:cs="Calibri"/>
          <w:b/>
        </w:rPr>
      </w:pPr>
      <w:r w:rsidRPr="00CC57AC">
        <w:rPr>
          <w:rFonts w:cs="Calibri"/>
          <w:b/>
        </w:rPr>
        <w:t>RESPOSTA ESCLARECIMENTO (1)</w:t>
      </w:r>
    </w:p>
    <w:p w14:paraId="25665EC9" w14:textId="357352CB" w:rsidR="00D02AF8" w:rsidRDefault="00BA6EDD">
      <w:pPr>
        <w:spacing w:after="158"/>
        <w:ind w:left="-5" w:right="0"/>
      </w:pPr>
      <w:r>
        <w:rPr>
          <w:rFonts w:cs="Calibri"/>
          <w:b/>
        </w:rPr>
        <w:t>Solicitação de Esclarecimento – BID: PREGÃO ELETRÔNICO N° 90010/2024</w:t>
      </w:r>
      <w:r>
        <w:rPr>
          <w:rFonts w:cs="Calibri"/>
        </w:rPr>
        <w:t xml:space="preserve"> </w:t>
      </w:r>
      <w:r>
        <w:rPr>
          <w:rFonts w:cs="Calibri"/>
          <w:b/>
        </w:rPr>
        <w:t>Contratante:</w:t>
      </w:r>
      <w:r>
        <w:t xml:space="preserve"> Unidade Gestora (UG: 985.865) – Município de Niterói, Secretaria Municipal de Urbanismo e Mobilidade</w:t>
      </w:r>
      <w:r>
        <w:rPr>
          <w:rFonts w:cs="Calibri"/>
        </w:rPr>
        <w:t xml:space="preserve"> </w:t>
      </w:r>
    </w:p>
    <w:p w14:paraId="2A8597B3" w14:textId="698179B6" w:rsidR="00D02AF8" w:rsidRDefault="00D02AF8">
      <w:pPr>
        <w:spacing w:after="160"/>
        <w:ind w:left="0" w:right="0" w:firstLine="0"/>
        <w:jc w:val="left"/>
      </w:pPr>
    </w:p>
    <w:p w14:paraId="621986F7" w14:textId="77777777" w:rsidR="00D02AF8" w:rsidRDefault="00BA6EDD">
      <w:pPr>
        <w:pStyle w:val="Ttulo1"/>
        <w:ind w:left="-5"/>
      </w:pPr>
      <w:r>
        <w:t>Item1</w:t>
      </w:r>
      <w:r>
        <w:rPr>
          <w:b w:val="0"/>
        </w:rPr>
        <w:t xml:space="preserve"> </w:t>
      </w:r>
    </w:p>
    <w:p w14:paraId="085BA2E0" w14:textId="457422C3" w:rsidR="00D02AF8" w:rsidRDefault="00BA6EDD">
      <w:pPr>
        <w:ind w:left="-5" w:right="0"/>
      </w:pPr>
      <w:r>
        <w:rPr>
          <w:rFonts w:cs="Calibri"/>
          <w:b/>
        </w:rPr>
        <w:t>Localização da informação no edital:</w:t>
      </w:r>
      <w:r>
        <w:t xml:space="preserve"> APENSO II AO ANEXO I (TERMO DE REFERÊNCIA) - </w:t>
      </w:r>
    </w:p>
    <w:p w14:paraId="3E84297E" w14:textId="77777777" w:rsidR="00D02AF8" w:rsidRDefault="00BA6EDD">
      <w:pPr>
        <w:tabs>
          <w:tab w:val="center" w:pos="2706"/>
          <w:tab w:val="center" w:pos="4575"/>
          <w:tab w:val="center" w:pos="6064"/>
          <w:tab w:val="center" w:pos="7091"/>
          <w:tab w:val="right" w:pos="8508"/>
        </w:tabs>
        <w:ind w:left="-15" w:right="0" w:firstLine="0"/>
        <w:jc w:val="left"/>
      </w:pPr>
      <w:r>
        <w:t xml:space="preserve">ESPECIFICAÇÕES </w:t>
      </w:r>
      <w:r>
        <w:tab/>
        <w:t xml:space="preserve">TÉCNICAS </w:t>
      </w:r>
      <w:r>
        <w:tab/>
        <w:t xml:space="preserve">CARREGADOR </w:t>
      </w:r>
      <w:r>
        <w:tab/>
        <w:t xml:space="preserve">– </w:t>
      </w:r>
      <w:r>
        <w:tab/>
        <w:t xml:space="preserve">160 </w:t>
      </w:r>
      <w:r>
        <w:tab/>
        <w:t>KWH</w:t>
      </w:r>
      <w:r>
        <w:rPr>
          <w:rFonts w:cs="Calibri"/>
        </w:rPr>
        <w:t xml:space="preserve"> </w:t>
      </w:r>
    </w:p>
    <w:p w14:paraId="6F389080" w14:textId="77777777" w:rsidR="00D02AF8" w:rsidRDefault="00BA6EDD">
      <w:pPr>
        <w:tabs>
          <w:tab w:val="center" w:pos="2070"/>
          <w:tab w:val="center" w:pos="3269"/>
          <w:tab w:val="center" w:pos="4454"/>
          <w:tab w:val="center" w:pos="5527"/>
          <w:tab w:val="center" w:pos="6304"/>
          <w:tab w:val="center" w:pos="7199"/>
          <w:tab w:val="right" w:pos="8508"/>
        </w:tabs>
        <w:ind w:left="-15" w:right="0" w:firstLine="0"/>
        <w:jc w:val="left"/>
      </w:pPr>
      <w:r>
        <w:rPr>
          <w:rFonts w:cs="Calibri"/>
          <w:b/>
        </w:rPr>
        <w:t xml:space="preserve">Especificação </w:t>
      </w:r>
      <w:r>
        <w:rPr>
          <w:rFonts w:cs="Calibri"/>
          <w:b/>
        </w:rPr>
        <w:tab/>
        <w:t>Técnica:</w:t>
      </w:r>
      <w:r>
        <w:t xml:space="preserve"> </w:t>
      </w:r>
      <w:r>
        <w:tab/>
        <w:t xml:space="preserve">Tensão: </w:t>
      </w:r>
      <w:r>
        <w:tab/>
        <w:t xml:space="preserve">Sistema </w:t>
      </w:r>
      <w:r>
        <w:tab/>
        <w:t xml:space="preserve">500V </w:t>
      </w:r>
      <w:r>
        <w:tab/>
        <w:t xml:space="preserve">| </w:t>
      </w:r>
      <w:r>
        <w:tab/>
        <w:t xml:space="preserve">Sistema </w:t>
      </w:r>
      <w:r>
        <w:tab/>
        <w:t>750V</w:t>
      </w:r>
      <w:r>
        <w:rPr>
          <w:rFonts w:cs="Calibri"/>
        </w:rPr>
        <w:t xml:space="preserve"> </w:t>
      </w:r>
    </w:p>
    <w:p w14:paraId="680C7483" w14:textId="77777777" w:rsidR="00D02AF8" w:rsidRDefault="00BA6EDD">
      <w:pPr>
        <w:tabs>
          <w:tab w:val="center" w:pos="1853"/>
          <w:tab w:val="center" w:pos="2917"/>
          <w:tab w:val="center" w:pos="3732"/>
          <w:tab w:val="center" w:pos="4383"/>
          <w:tab w:val="center" w:pos="5090"/>
          <w:tab w:val="center" w:pos="5593"/>
          <w:tab w:val="center" w:pos="6155"/>
          <w:tab w:val="center" w:pos="6717"/>
          <w:tab w:val="center" w:pos="7210"/>
          <w:tab w:val="center" w:pos="7712"/>
          <w:tab w:val="right" w:pos="8508"/>
        </w:tabs>
        <w:ind w:left="-15" w:right="0" w:firstLine="0"/>
        <w:jc w:val="left"/>
      </w:pPr>
      <w:r>
        <w:rPr>
          <w:rFonts w:cs="Calibri"/>
          <w:b/>
        </w:rPr>
        <w:t xml:space="preserve">Especificação </w:t>
      </w:r>
      <w:r>
        <w:rPr>
          <w:rFonts w:cs="Calibri"/>
          <w:b/>
        </w:rPr>
        <w:tab/>
        <w:t>Técnica:</w:t>
      </w:r>
      <w:r>
        <w:t xml:space="preserve"> </w:t>
      </w:r>
      <w:r>
        <w:tab/>
        <w:t xml:space="preserve">Voltagem </w:t>
      </w:r>
      <w:r>
        <w:tab/>
        <w:t xml:space="preserve">de </w:t>
      </w:r>
      <w:r>
        <w:tab/>
        <w:t xml:space="preserve">saída: </w:t>
      </w:r>
      <w:r>
        <w:tab/>
        <w:t xml:space="preserve">200 </w:t>
      </w:r>
      <w:r>
        <w:tab/>
        <w:t xml:space="preserve">– </w:t>
      </w:r>
      <w:r>
        <w:tab/>
        <w:t xml:space="preserve">500V </w:t>
      </w:r>
      <w:r>
        <w:tab/>
        <w:t xml:space="preserve">| </w:t>
      </w:r>
      <w:r>
        <w:tab/>
        <w:t xml:space="preserve">250 </w:t>
      </w:r>
      <w:r>
        <w:tab/>
        <w:t xml:space="preserve">– </w:t>
      </w:r>
      <w:r>
        <w:tab/>
        <w:t>750V</w:t>
      </w:r>
      <w:r>
        <w:rPr>
          <w:rFonts w:cs="Calibri"/>
        </w:rPr>
        <w:t xml:space="preserve"> </w:t>
      </w:r>
    </w:p>
    <w:p w14:paraId="40DEA2BA" w14:textId="77777777" w:rsidR="00D02AF8" w:rsidRDefault="00BA6EDD">
      <w:pPr>
        <w:spacing w:after="159"/>
        <w:ind w:left="-5" w:right="0"/>
        <w:rPr>
          <w:rFonts w:cs="Calibri"/>
        </w:rPr>
      </w:pPr>
      <w:r>
        <w:rPr>
          <w:rFonts w:cs="Calibri"/>
          <w:b/>
        </w:rPr>
        <w:t>Questionamento 01:</w:t>
      </w:r>
      <w:r>
        <w:t xml:space="preserve"> Entendemos que as tensões de 500V e 750V se referem à tensão de carga das baterias. Diante disso, consideramos que o carregador deve operar com variação dinâmica, ajustando-se conforme a solicitação do veículo, em uma faixa de 200V a 1000V. Nosso entendimento está correto?</w:t>
      </w:r>
      <w:r>
        <w:rPr>
          <w:rFonts w:cs="Calibri"/>
        </w:rPr>
        <w:t xml:space="preserve"> </w:t>
      </w:r>
    </w:p>
    <w:p w14:paraId="3C5B3E33" w14:textId="62C8A8B8" w:rsidR="0021737F" w:rsidRDefault="0021737F">
      <w:pPr>
        <w:spacing w:after="159"/>
        <w:ind w:left="-5" w:right="0"/>
      </w:pPr>
      <w:r w:rsidRPr="0021737F">
        <w:rPr>
          <w:b/>
          <w:bCs/>
        </w:rPr>
        <w:t>Esclarecimento:</w:t>
      </w:r>
      <w:r w:rsidRPr="0021737F">
        <w:t xml:space="preserve"> Sim. Ao se conectar o veículo para recarga, o sistema de controle do veículo irá se comunicar com o carregador e irá ajustar a tensão de carga das baterias de forma automática podendo variar de 200 a 1000V, normalmente ficando por volta dos 700V.</w:t>
      </w:r>
    </w:p>
    <w:p w14:paraId="38158AF1" w14:textId="77777777" w:rsidR="00D02AF8" w:rsidRDefault="00BA6EDD">
      <w:pPr>
        <w:spacing w:after="160"/>
        <w:ind w:left="0" w:right="0" w:firstLine="0"/>
        <w:jc w:val="left"/>
      </w:pPr>
      <w:r>
        <w:rPr>
          <w:rFonts w:cs="Calibri"/>
        </w:rPr>
        <w:t xml:space="preserve"> </w:t>
      </w:r>
    </w:p>
    <w:p w14:paraId="2D80236F" w14:textId="77777777" w:rsidR="00D02AF8" w:rsidRDefault="00BA6EDD">
      <w:pPr>
        <w:pStyle w:val="Ttulo1"/>
        <w:ind w:left="-5"/>
      </w:pPr>
      <w:r>
        <w:t>Item2</w:t>
      </w:r>
      <w:r>
        <w:rPr>
          <w:b w:val="0"/>
        </w:rPr>
        <w:t xml:space="preserve"> </w:t>
      </w:r>
    </w:p>
    <w:p w14:paraId="27DC11AC" w14:textId="77777777" w:rsidR="00D02AF8" w:rsidRDefault="00BA6EDD">
      <w:pPr>
        <w:ind w:left="-5" w:right="0"/>
      </w:pPr>
      <w:r>
        <w:rPr>
          <w:rFonts w:cs="Calibri"/>
          <w:b/>
        </w:rPr>
        <w:t>Localização da informação no edital:</w:t>
      </w:r>
      <w:r>
        <w:t xml:space="preserve"> APENSO II AO ANEXO I (TERMO DE REFERÊNCIA) - </w:t>
      </w:r>
    </w:p>
    <w:p w14:paraId="409EBDBD" w14:textId="77777777" w:rsidR="00D02AF8" w:rsidRDefault="00BA6EDD">
      <w:pPr>
        <w:tabs>
          <w:tab w:val="center" w:pos="2706"/>
          <w:tab w:val="center" w:pos="4575"/>
          <w:tab w:val="center" w:pos="6064"/>
          <w:tab w:val="center" w:pos="7091"/>
          <w:tab w:val="right" w:pos="8508"/>
        </w:tabs>
        <w:ind w:left="-15" w:right="0" w:firstLine="0"/>
        <w:jc w:val="left"/>
      </w:pPr>
      <w:r>
        <w:t xml:space="preserve">ESPECIFICAÇÕES </w:t>
      </w:r>
      <w:r>
        <w:tab/>
        <w:t xml:space="preserve">TÉCNICAS </w:t>
      </w:r>
      <w:r>
        <w:tab/>
        <w:t xml:space="preserve">CARREGADOR </w:t>
      </w:r>
      <w:r>
        <w:tab/>
        <w:t xml:space="preserve">– </w:t>
      </w:r>
      <w:r>
        <w:tab/>
        <w:t xml:space="preserve">160 </w:t>
      </w:r>
      <w:r>
        <w:tab/>
        <w:t>KWH</w:t>
      </w:r>
      <w:r>
        <w:rPr>
          <w:rFonts w:cs="Calibri"/>
        </w:rPr>
        <w:t xml:space="preserve"> </w:t>
      </w:r>
    </w:p>
    <w:p w14:paraId="24E1D5BA" w14:textId="77777777" w:rsidR="00D02AF8" w:rsidRDefault="00BA6EDD">
      <w:pPr>
        <w:tabs>
          <w:tab w:val="center" w:pos="2057"/>
          <w:tab w:val="center" w:pos="3424"/>
          <w:tab w:val="center" w:pos="4595"/>
          <w:tab w:val="center" w:pos="5294"/>
          <w:tab w:val="center" w:pos="5992"/>
          <w:tab w:val="center" w:pos="6692"/>
          <w:tab w:val="center" w:pos="7445"/>
          <w:tab w:val="right" w:pos="8508"/>
        </w:tabs>
        <w:ind w:left="-15" w:right="0" w:firstLine="0"/>
        <w:jc w:val="left"/>
      </w:pPr>
      <w:r>
        <w:rPr>
          <w:rFonts w:cs="Calibri"/>
          <w:b/>
        </w:rPr>
        <w:t xml:space="preserve">Especificação </w:t>
      </w:r>
      <w:r>
        <w:rPr>
          <w:rFonts w:cs="Calibri"/>
          <w:b/>
        </w:rPr>
        <w:tab/>
        <w:t>Técnica:</w:t>
      </w:r>
      <w:r>
        <w:t xml:space="preserve"> </w:t>
      </w:r>
      <w:r>
        <w:tab/>
        <w:t xml:space="preserve">Dimensões: </w:t>
      </w:r>
      <w:r>
        <w:tab/>
        <w:t xml:space="preserve">750 </w:t>
      </w:r>
      <w:r>
        <w:tab/>
        <w:t xml:space="preserve">x </w:t>
      </w:r>
      <w:r>
        <w:tab/>
        <w:t xml:space="preserve">750 </w:t>
      </w:r>
      <w:r>
        <w:tab/>
        <w:t xml:space="preserve">x </w:t>
      </w:r>
      <w:r>
        <w:tab/>
        <w:t xml:space="preserve">1850 </w:t>
      </w:r>
      <w:r>
        <w:tab/>
        <w:t>mm</w:t>
      </w:r>
      <w:r>
        <w:rPr>
          <w:rFonts w:cs="Calibri"/>
        </w:rPr>
        <w:t xml:space="preserve"> </w:t>
      </w:r>
    </w:p>
    <w:p w14:paraId="06D100CA" w14:textId="77777777" w:rsidR="00D02AF8" w:rsidRDefault="00BA6EDD">
      <w:pPr>
        <w:spacing w:after="159"/>
        <w:ind w:left="-5" w:right="0"/>
        <w:rPr>
          <w:rFonts w:cs="Calibri"/>
        </w:rPr>
      </w:pPr>
      <w:r>
        <w:rPr>
          <w:rFonts w:cs="Calibri"/>
          <w:b/>
        </w:rPr>
        <w:t>Questionamento 02:</w:t>
      </w:r>
      <w:r>
        <w:t xml:space="preserve"> Entendemos que as dimensões especificadas são uma estimativa e não uma exigência fixa, considerando que cada fabricante possui características próprias que podem resultar em equipamentos com ligeiras variações dimensionais. Nosso entendimento está correto?</w:t>
      </w:r>
      <w:r>
        <w:rPr>
          <w:rFonts w:cs="Calibri"/>
        </w:rPr>
        <w:t xml:space="preserve"> </w:t>
      </w:r>
    </w:p>
    <w:p w14:paraId="7BDD9ADF" w14:textId="1B096FE2" w:rsidR="0021737F" w:rsidRDefault="0021737F">
      <w:pPr>
        <w:spacing w:after="159"/>
        <w:ind w:left="-5" w:right="0"/>
      </w:pPr>
      <w:r w:rsidRPr="0021737F">
        <w:rPr>
          <w:b/>
          <w:bCs/>
        </w:rPr>
        <w:t>Esclarecimento:</w:t>
      </w:r>
      <w:r w:rsidRPr="0021737F">
        <w:t xml:space="preserve"> Confirmamos que as dimensões especificadas são orientativas e não constituem uma exigência fixa. Reconhecemos que cada fabricante pode apresentar ligeiras variações dimensionais, que são permitidas, desde que respeitem os princípios de compatibilidade e instalação segura e eficiente do equipamento.</w:t>
      </w:r>
    </w:p>
    <w:p w14:paraId="1B17EC0C" w14:textId="77777777" w:rsidR="00D02AF8" w:rsidRDefault="00BA6EDD">
      <w:pPr>
        <w:spacing w:after="160"/>
        <w:ind w:left="0" w:right="0" w:firstLine="0"/>
        <w:jc w:val="left"/>
      </w:pPr>
      <w:r>
        <w:rPr>
          <w:rFonts w:cs="Calibri"/>
        </w:rPr>
        <w:t xml:space="preserve"> </w:t>
      </w:r>
    </w:p>
    <w:p w14:paraId="7FC757B4" w14:textId="77777777" w:rsidR="00D02AF8" w:rsidRDefault="00BA6EDD">
      <w:pPr>
        <w:pStyle w:val="Ttulo1"/>
        <w:ind w:left="-5"/>
      </w:pPr>
      <w:r>
        <w:t>Item3</w:t>
      </w:r>
      <w:r>
        <w:rPr>
          <w:b w:val="0"/>
        </w:rPr>
        <w:t xml:space="preserve"> </w:t>
      </w:r>
    </w:p>
    <w:p w14:paraId="1D7CA24F" w14:textId="77777777" w:rsidR="00D02AF8" w:rsidRDefault="00BA6EDD">
      <w:pPr>
        <w:ind w:left="-5" w:right="0"/>
      </w:pPr>
      <w:r>
        <w:rPr>
          <w:rFonts w:cs="Calibri"/>
          <w:b/>
        </w:rPr>
        <w:t>Localização da informação no edital:</w:t>
      </w:r>
      <w:r>
        <w:t xml:space="preserve"> APENSO II AO ANEXO I (TERMO DE REFERÊNCIA) - </w:t>
      </w:r>
    </w:p>
    <w:p w14:paraId="516B6539" w14:textId="77777777" w:rsidR="00D02AF8" w:rsidRDefault="00BA6EDD">
      <w:pPr>
        <w:ind w:left="-5" w:right="0"/>
      </w:pPr>
      <w:r>
        <w:t>ESPECIFICAÇÕES TÉCNICAS CARREGADOR – 160 KWH</w:t>
      </w:r>
      <w:r>
        <w:rPr>
          <w:rFonts w:cs="Calibri"/>
        </w:rPr>
        <w:t xml:space="preserve"> </w:t>
      </w:r>
      <w:r>
        <w:rPr>
          <w:rFonts w:cs="Calibri"/>
          <w:b/>
        </w:rPr>
        <w:t>Especificação Técnica:</w:t>
      </w:r>
      <w:r>
        <w:t xml:space="preserve"> 5m (configuração customizável)</w:t>
      </w:r>
      <w:r>
        <w:rPr>
          <w:rFonts w:cs="Calibri"/>
        </w:rPr>
        <w:t xml:space="preserve"> </w:t>
      </w:r>
    </w:p>
    <w:p w14:paraId="20172236" w14:textId="77777777" w:rsidR="00D02AF8" w:rsidRDefault="00BA6EDD">
      <w:pPr>
        <w:spacing w:after="161"/>
        <w:ind w:left="-5" w:right="0"/>
        <w:rPr>
          <w:rFonts w:cs="Calibri"/>
        </w:rPr>
      </w:pPr>
      <w:r>
        <w:rPr>
          <w:rFonts w:cs="Calibri"/>
          <w:b/>
        </w:rPr>
        <w:lastRenderedPageBreak/>
        <w:t>Questionamento 03:</w:t>
      </w:r>
      <w:r>
        <w:t xml:space="preserve"> Observamos que o termo "customizável" não possui definição no edital. Solicitamos uma definição mais detalhada ou exemplos específicos do que é compreendido como "customizável" para este item, pois o entendimento claro desse termo é crucial para a execução correta do escopo e afeta diretamente o custo do equipamento.</w:t>
      </w:r>
      <w:r>
        <w:rPr>
          <w:rFonts w:cs="Calibri"/>
        </w:rPr>
        <w:t xml:space="preserve"> </w:t>
      </w:r>
    </w:p>
    <w:p w14:paraId="207EE98C" w14:textId="66A6C94C" w:rsidR="0021737F" w:rsidRDefault="0021737F">
      <w:pPr>
        <w:spacing w:after="161"/>
        <w:ind w:left="-5" w:right="0"/>
      </w:pPr>
      <w:r w:rsidRPr="0021737F">
        <w:rPr>
          <w:b/>
          <w:bCs/>
        </w:rPr>
        <w:t xml:space="preserve">Esclarecimento: </w:t>
      </w:r>
      <w:r w:rsidRPr="0021737F">
        <w:t>compreenda-se “customizável” como a possibilidade de ajuste do comprimento do cabo, possibilidade de parametrizar o carregador considerando o melhor rendimento necessário que se adequa a cada situação. Sendo assim o carregador pode ter sua potência limitada caso não haja energia suficiente no local, pode ser configurado para que a recarga se inicie somente com senha, código ou cartão de autorização ou ficar limitado a um consumo máximo de energia, ou outras modificações menores que atendam às necessidades operacionais específicas, respeitando as normas de segurança e funcionalidade.</w:t>
      </w:r>
    </w:p>
    <w:p w14:paraId="328837AD" w14:textId="77777777" w:rsidR="00D02AF8" w:rsidRDefault="00BA6EDD">
      <w:pPr>
        <w:spacing w:after="158"/>
        <w:ind w:left="0" w:right="0" w:firstLine="0"/>
        <w:jc w:val="left"/>
      </w:pPr>
      <w:r>
        <w:rPr>
          <w:rFonts w:cs="Calibri"/>
        </w:rPr>
        <w:t xml:space="preserve"> </w:t>
      </w:r>
    </w:p>
    <w:p w14:paraId="2ECCBB52" w14:textId="77777777" w:rsidR="00D02AF8" w:rsidRDefault="00BA6EDD">
      <w:pPr>
        <w:pStyle w:val="Ttulo1"/>
        <w:ind w:left="-5"/>
      </w:pPr>
      <w:r>
        <w:t>Item4</w:t>
      </w:r>
      <w:r>
        <w:rPr>
          <w:b w:val="0"/>
        </w:rPr>
        <w:t xml:space="preserve"> </w:t>
      </w:r>
    </w:p>
    <w:p w14:paraId="7F3AF999" w14:textId="77777777" w:rsidR="00D02AF8" w:rsidRDefault="00BA6EDD">
      <w:pPr>
        <w:ind w:left="-5" w:right="0"/>
      </w:pPr>
      <w:r>
        <w:rPr>
          <w:rFonts w:cs="Calibri"/>
          <w:b/>
        </w:rPr>
        <w:t>Localização da informação no edital:</w:t>
      </w:r>
      <w:r>
        <w:t xml:space="preserve"> APENSO II AO ANEXO I (TERMO DE REFERÊNCIA) - </w:t>
      </w:r>
    </w:p>
    <w:p w14:paraId="1486675C" w14:textId="77777777" w:rsidR="00D02AF8" w:rsidRDefault="00BA6EDD">
      <w:pPr>
        <w:tabs>
          <w:tab w:val="center" w:pos="2706"/>
          <w:tab w:val="center" w:pos="4575"/>
          <w:tab w:val="center" w:pos="6064"/>
          <w:tab w:val="center" w:pos="7091"/>
          <w:tab w:val="right" w:pos="8508"/>
        </w:tabs>
        <w:ind w:left="-15" w:right="0" w:firstLine="0"/>
        <w:jc w:val="left"/>
      </w:pPr>
      <w:r>
        <w:t xml:space="preserve">ESPECIFICAÇÕES </w:t>
      </w:r>
      <w:r>
        <w:tab/>
        <w:t xml:space="preserve">TÉCNICAS </w:t>
      </w:r>
      <w:r>
        <w:tab/>
        <w:t xml:space="preserve">CARREGADOR </w:t>
      </w:r>
      <w:r>
        <w:tab/>
        <w:t xml:space="preserve">– </w:t>
      </w:r>
      <w:r>
        <w:tab/>
        <w:t xml:space="preserve">160 </w:t>
      </w:r>
      <w:r>
        <w:tab/>
        <w:t>KWH</w:t>
      </w:r>
      <w:r>
        <w:rPr>
          <w:rFonts w:cs="Calibri"/>
        </w:rPr>
        <w:t xml:space="preserve"> </w:t>
      </w:r>
    </w:p>
    <w:p w14:paraId="0337E2CE" w14:textId="77777777" w:rsidR="00D02AF8" w:rsidRDefault="00BA6EDD">
      <w:pPr>
        <w:tabs>
          <w:tab w:val="center" w:pos="1972"/>
          <w:tab w:val="center" w:pos="3295"/>
          <w:tab w:val="center" w:pos="4368"/>
          <w:tab w:val="center" w:pos="5257"/>
          <w:tab w:val="center" w:pos="6156"/>
          <w:tab w:val="center" w:pos="6905"/>
          <w:tab w:val="center" w:pos="7592"/>
          <w:tab w:val="right" w:pos="8508"/>
        </w:tabs>
        <w:ind w:left="-15" w:right="0" w:firstLine="0"/>
        <w:jc w:val="left"/>
      </w:pPr>
      <w:r>
        <w:rPr>
          <w:rFonts w:cs="Calibri"/>
          <w:b/>
        </w:rPr>
        <w:t xml:space="preserve">Especificação </w:t>
      </w:r>
      <w:r>
        <w:rPr>
          <w:rFonts w:cs="Calibri"/>
          <w:b/>
        </w:rPr>
        <w:tab/>
        <w:t>Técnica:</w:t>
      </w:r>
      <w:r>
        <w:t xml:space="preserve"> </w:t>
      </w:r>
      <w:r>
        <w:tab/>
        <w:t xml:space="preserve">Classificação </w:t>
      </w:r>
      <w:r>
        <w:tab/>
        <w:t xml:space="preserve">de </w:t>
      </w:r>
      <w:r>
        <w:tab/>
        <w:t xml:space="preserve">entrada: </w:t>
      </w:r>
      <w:r>
        <w:tab/>
        <w:t xml:space="preserve">AC </w:t>
      </w:r>
      <w:r>
        <w:tab/>
        <w:t xml:space="preserve">323V </w:t>
      </w:r>
      <w:r>
        <w:tab/>
        <w:t xml:space="preserve">– </w:t>
      </w:r>
      <w:r>
        <w:tab/>
        <w:t>456V</w:t>
      </w:r>
      <w:r>
        <w:rPr>
          <w:rFonts w:cs="Calibri"/>
        </w:rPr>
        <w:t xml:space="preserve"> </w:t>
      </w:r>
    </w:p>
    <w:p w14:paraId="1204BD06" w14:textId="77777777" w:rsidR="00D02AF8" w:rsidRDefault="00BA6EDD">
      <w:pPr>
        <w:spacing w:after="158"/>
        <w:ind w:left="-5" w:right="0"/>
        <w:rPr>
          <w:rFonts w:cs="Calibri"/>
        </w:rPr>
      </w:pPr>
      <w:r>
        <w:rPr>
          <w:rFonts w:cs="Calibri"/>
          <w:b/>
        </w:rPr>
        <w:t>Questionamento 04:</w:t>
      </w:r>
      <w:r>
        <w:t xml:space="preserve"> A norma NBR 5410 estabelece tensões nominais para instalações elétricas, sendo que os valores mais próximos aos indicados no edital, conforme a NBR 5410, são 380V e 480V trifásicos. Estas tensões são fornecidas pela concessionária Enel Distribuição Rio, com uma variação padrão de ±10% da tensão nominal. Gostaríamos de confirmar se os carregadores podem ser alimentados em 380V trifásico, conforme as normas aplicáveis.</w:t>
      </w:r>
      <w:r>
        <w:rPr>
          <w:rFonts w:cs="Calibri"/>
        </w:rPr>
        <w:t xml:space="preserve"> </w:t>
      </w:r>
    </w:p>
    <w:p w14:paraId="4066CF86" w14:textId="6991D20C" w:rsidR="0021737F" w:rsidRDefault="0021737F">
      <w:pPr>
        <w:spacing w:after="158"/>
        <w:ind w:left="-5" w:right="0"/>
      </w:pPr>
      <w:r w:rsidRPr="0021737F">
        <w:rPr>
          <w:b/>
          <w:bCs/>
        </w:rPr>
        <w:t>Esclarecimento:</w:t>
      </w:r>
      <w:r w:rsidRPr="0021737F">
        <w:t xml:space="preserve"> Concordamos com a observação de que a norma NBR 5410 estabelece tensões nominais próximas de 380V e 480V trifásicos, com uma variação de ±10% fornecida pela Enel Distribuição Rio. Confirmamos que os carregadores podem ser alimentados em 380V trifásico + neutro + terra, desde que dentro dos padrões e normas aplicáveis, garantindo compatibilidade com a infraestrutura elétrica local.</w:t>
      </w:r>
    </w:p>
    <w:p w14:paraId="5AD44DE5" w14:textId="77777777" w:rsidR="00D02AF8" w:rsidRDefault="00BA6EDD">
      <w:pPr>
        <w:spacing w:after="160"/>
        <w:ind w:left="0" w:right="0" w:firstLine="0"/>
        <w:jc w:val="left"/>
      </w:pPr>
      <w:r>
        <w:rPr>
          <w:rFonts w:cs="Calibri"/>
        </w:rPr>
        <w:t xml:space="preserve"> </w:t>
      </w:r>
    </w:p>
    <w:p w14:paraId="1DBD3C4F" w14:textId="77777777" w:rsidR="00D02AF8" w:rsidRDefault="00BA6EDD">
      <w:pPr>
        <w:pStyle w:val="Ttulo1"/>
        <w:ind w:left="-5"/>
      </w:pPr>
      <w:r>
        <w:t>Item5</w:t>
      </w:r>
      <w:r>
        <w:rPr>
          <w:b w:val="0"/>
        </w:rPr>
        <w:t xml:space="preserve"> </w:t>
      </w:r>
    </w:p>
    <w:p w14:paraId="7FBF6EAC" w14:textId="77777777" w:rsidR="00D02AF8" w:rsidRDefault="00BA6EDD">
      <w:pPr>
        <w:ind w:left="-5" w:right="0"/>
      </w:pPr>
      <w:r>
        <w:rPr>
          <w:rFonts w:cs="Calibri"/>
          <w:b/>
        </w:rPr>
        <w:t>Localização da informação no edital:</w:t>
      </w:r>
      <w:r>
        <w:t xml:space="preserve"> APENSO II AO ANEXO I (TERMO DE REFERÊNCIA) - </w:t>
      </w:r>
    </w:p>
    <w:p w14:paraId="6E05C3BA" w14:textId="77777777" w:rsidR="00D02AF8" w:rsidRDefault="00BA6EDD">
      <w:pPr>
        <w:tabs>
          <w:tab w:val="center" w:pos="2706"/>
          <w:tab w:val="center" w:pos="4575"/>
          <w:tab w:val="center" w:pos="6064"/>
          <w:tab w:val="center" w:pos="7091"/>
          <w:tab w:val="right" w:pos="8508"/>
        </w:tabs>
        <w:ind w:left="-15" w:right="0" w:firstLine="0"/>
        <w:jc w:val="left"/>
      </w:pPr>
      <w:r>
        <w:t xml:space="preserve">ESPECIFICAÇÕES </w:t>
      </w:r>
      <w:r>
        <w:tab/>
        <w:t xml:space="preserve">TÉCNICAS </w:t>
      </w:r>
      <w:r>
        <w:tab/>
        <w:t xml:space="preserve">CARREGADOR </w:t>
      </w:r>
      <w:r>
        <w:tab/>
        <w:t xml:space="preserve">– </w:t>
      </w:r>
      <w:r>
        <w:tab/>
        <w:t xml:space="preserve">160 </w:t>
      </w:r>
      <w:r>
        <w:tab/>
        <w:t>KWH</w:t>
      </w:r>
      <w:r>
        <w:rPr>
          <w:rFonts w:cs="Calibri"/>
        </w:rPr>
        <w:t xml:space="preserve"> </w:t>
      </w:r>
    </w:p>
    <w:p w14:paraId="6E32B186" w14:textId="77777777" w:rsidR="00D02AF8" w:rsidRDefault="00BA6EDD">
      <w:pPr>
        <w:tabs>
          <w:tab w:val="center" w:pos="1867"/>
          <w:tab w:val="center" w:pos="2888"/>
          <w:tab w:val="center" w:pos="3662"/>
          <w:tab w:val="center" w:pos="4559"/>
          <w:tab w:val="center" w:pos="5457"/>
          <w:tab w:val="center" w:pos="6515"/>
          <w:tab w:val="center" w:pos="7516"/>
          <w:tab w:val="center" w:pos="7982"/>
          <w:tab w:val="right" w:pos="8508"/>
        </w:tabs>
        <w:ind w:left="-15" w:right="0" w:firstLine="0"/>
        <w:jc w:val="left"/>
      </w:pPr>
      <w:r>
        <w:rPr>
          <w:rFonts w:cs="Calibri"/>
          <w:b/>
        </w:rPr>
        <w:t xml:space="preserve">Especificação </w:t>
      </w:r>
      <w:r>
        <w:rPr>
          <w:rFonts w:cs="Calibri"/>
          <w:b/>
        </w:rPr>
        <w:tab/>
        <w:t>Técnica:</w:t>
      </w:r>
      <w:r>
        <w:t xml:space="preserve"> </w:t>
      </w:r>
      <w:r>
        <w:tab/>
        <w:t xml:space="preserve">Número </w:t>
      </w:r>
      <w:r>
        <w:tab/>
        <w:t xml:space="preserve">de </w:t>
      </w:r>
      <w:r>
        <w:tab/>
        <w:t xml:space="preserve">conectores </w:t>
      </w:r>
      <w:r>
        <w:tab/>
        <w:t xml:space="preserve">de </w:t>
      </w:r>
      <w:r>
        <w:tab/>
        <w:t xml:space="preserve">carregamento: </w:t>
      </w:r>
      <w:r>
        <w:tab/>
        <w:t xml:space="preserve">1 </w:t>
      </w:r>
      <w:r>
        <w:tab/>
        <w:t xml:space="preserve">ou </w:t>
      </w:r>
      <w:r>
        <w:tab/>
        <w:t>2</w:t>
      </w:r>
      <w:r>
        <w:rPr>
          <w:rFonts w:cs="Calibri"/>
        </w:rPr>
        <w:t xml:space="preserve"> </w:t>
      </w:r>
    </w:p>
    <w:p w14:paraId="29D164BB" w14:textId="77777777" w:rsidR="00D02AF8" w:rsidRDefault="00BA6EDD">
      <w:pPr>
        <w:spacing w:after="159"/>
        <w:ind w:left="-5" w:right="0"/>
        <w:rPr>
          <w:rFonts w:cs="Calibri"/>
        </w:rPr>
      </w:pPr>
      <w:r>
        <w:rPr>
          <w:rFonts w:cs="Calibri"/>
          <w:b/>
        </w:rPr>
        <w:t>Questionamento 05:</w:t>
      </w:r>
      <w:r>
        <w:t xml:space="preserve"> Entendemos que o carregador deve possibilitar a carga de até dois veículos simultaneamente, ou seja, utilizar um conector caso haja um único veículo e, em caso de dois veículos, permitir o carregamento simultâneo de ambos. Poderiam, por favor, confirmar se esse entendimento está correto?</w:t>
      </w:r>
      <w:r>
        <w:rPr>
          <w:rFonts w:cs="Calibri"/>
        </w:rPr>
        <w:t xml:space="preserve"> </w:t>
      </w:r>
    </w:p>
    <w:p w14:paraId="5B07A758" w14:textId="6BA3CCBF" w:rsidR="0021737F" w:rsidRDefault="0021737F">
      <w:pPr>
        <w:spacing w:after="159"/>
        <w:ind w:left="-5" w:right="0"/>
      </w:pPr>
      <w:r w:rsidRPr="0021737F">
        <w:rPr>
          <w:b/>
          <w:bCs/>
        </w:rPr>
        <w:t>Esclarecimento:</w:t>
      </w:r>
      <w:r w:rsidRPr="0021737F">
        <w:t xml:space="preserve"> Confirmamos o entendimento de que o carregador deve possibilitar a carga de até dois veículos simultaneamente. O uso de um conector deve ser possível para a carga de um único veículo, e, no caso de dois veículos, a configuração deve permitir o carregamento simultâneo de ambos, sendo cada um com metade da potência total.</w:t>
      </w:r>
    </w:p>
    <w:p w14:paraId="589801F8" w14:textId="6DF0530E" w:rsidR="00CC57AC" w:rsidRDefault="00CC57AC">
      <w:pPr>
        <w:spacing w:after="159"/>
        <w:ind w:left="-5" w:right="0"/>
      </w:pPr>
      <w:r>
        <w:t>Em 08/11/2024</w:t>
      </w:r>
    </w:p>
    <w:p w14:paraId="611227EF" w14:textId="13470E49" w:rsidR="00D02AF8" w:rsidRDefault="00CC57AC" w:rsidP="00CC57AC">
      <w:pPr>
        <w:spacing w:after="159"/>
        <w:ind w:left="-5" w:right="0"/>
      </w:pPr>
      <w:r>
        <w:t>Secretaria Municipal de Urbanismo e Mobilidade</w:t>
      </w:r>
    </w:p>
    <w:sectPr w:rsidR="00D02AF8">
      <w:pgSz w:w="11906" w:h="16838"/>
      <w:pgMar w:top="1459" w:right="1696" w:bottom="16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8"/>
    <w:rsid w:val="000402C9"/>
    <w:rsid w:val="0021737F"/>
    <w:rsid w:val="00490E6D"/>
    <w:rsid w:val="007D0D91"/>
    <w:rsid w:val="00B42277"/>
    <w:rsid w:val="00BA6EDD"/>
    <w:rsid w:val="00CC57AC"/>
    <w:rsid w:val="00D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36E6E"/>
  <w15:docId w15:val="{DB1F2926-533B-8347-ACA5-DE78481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9" w:lineRule="auto"/>
      <w:ind w:left="10" w:right="3" w:hanging="10"/>
      <w:jc w:val="both"/>
    </w:pPr>
    <w:rPr>
      <w:rFonts w:ascii="Calibri" w:eastAsia="Calibri" w:hAnsi="Calibri" w:cs="Times New Roman"/>
      <w:color w:val="000000"/>
      <w:sz w:val="22"/>
      <w:lang w:val="pt" w:eastAsia="pt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T Domingues</dc:creator>
  <cp:keywords/>
  <cp:lastModifiedBy>Concyr Formiga Bernardes</cp:lastModifiedBy>
  <cp:revision>4</cp:revision>
  <dcterms:created xsi:type="dcterms:W3CDTF">2024-11-11T11:28:00Z</dcterms:created>
  <dcterms:modified xsi:type="dcterms:W3CDTF">2024-11-11T12:35:00Z</dcterms:modified>
</cp:coreProperties>
</file>